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99D5" w14:textId="3E0C828C" w:rsidR="00A61219" w:rsidRDefault="007F5D74" w:rsidP="007F5D74">
      <w:pPr>
        <w:suppressLineNumbers/>
        <w:jc w:val="center"/>
      </w:pPr>
      <w:r>
        <w:t xml:space="preserve">IN THE GENERAL ASSEMBLY </w:t>
      </w:r>
      <w:r w:rsidR="00A6349E">
        <w:t xml:space="preserve">OF THE STATE OF </w:t>
      </w:r>
      <w:r w:rsidR="00A438AE" w:rsidRPr="00A438AE">
        <w:rPr>
          <w:highlight w:val="yellow"/>
        </w:rPr>
        <w:t>XXXX</w:t>
      </w:r>
    </w:p>
    <w:p w14:paraId="2E0C3A4D" w14:textId="77777777" w:rsidR="007F5D74" w:rsidRDefault="007F5D74" w:rsidP="007F5D74">
      <w:pPr>
        <w:suppressLineNumbers/>
        <w:jc w:val="center"/>
      </w:pPr>
      <w:r>
        <w:t>Osteopathic</w:t>
      </w:r>
      <w:r w:rsidR="00CD12C0">
        <w:t xml:space="preserve"> Medicine</w:t>
      </w:r>
      <w:r>
        <w:t xml:space="preserve"> Equivalency Act</w:t>
      </w:r>
    </w:p>
    <w:p w14:paraId="26255F1C" w14:textId="01DFB847" w:rsidR="007F5D74" w:rsidRDefault="007F5D74" w:rsidP="007F5D74">
      <w:r>
        <w:t xml:space="preserve">Be it enacted by </w:t>
      </w:r>
      <w:r w:rsidR="00A6349E">
        <w:t xml:space="preserve">the General Assembly of the State of </w:t>
      </w:r>
      <w:r w:rsidR="00A438AE" w:rsidRPr="00A438AE">
        <w:rPr>
          <w:highlight w:val="yellow"/>
        </w:rPr>
        <w:t>XXXX</w:t>
      </w:r>
      <w:r>
        <w:t>:</w:t>
      </w:r>
    </w:p>
    <w:p w14:paraId="02BE856D" w14:textId="77777777" w:rsidR="00CD12C0" w:rsidRDefault="007F5D74" w:rsidP="007F5D74">
      <w:r w:rsidRPr="00CD12C0">
        <w:rPr>
          <w:b/>
          <w:u w:val="single"/>
        </w:rPr>
        <w:t>Section 1</w:t>
      </w:r>
      <w:r>
        <w:t xml:space="preserve">. </w:t>
      </w:r>
      <w:r w:rsidRPr="00CD12C0">
        <w:rPr>
          <w:b/>
          <w:u w:val="single"/>
        </w:rPr>
        <w:t>Title</w:t>
      </w:r>
      <w:r>
        <w:t xml:space="preserve">. This act shall be known as and may be cited as the “Osteopathic Medicine Equivalency </w:t>
      </w:r>
    </w:p>
    <w:p w14:paraId="62114850" w14:textId="77777777" w:rsidR="007F5D74" w:rsidRDefault="007F5D74" w:rsidP="007F5D74">
      <w:r>
        <w:t>Act.”</w:t>
      </w:r>
    </w:p>
    <w:p w14:paraId="4C101B3A" w14:textId="5B49B4AD" w:rsidR="0089717B" w:rsidRDefault="00CD12C0" w:rsidP="002E09CD">
      <w:r w:rsidRPr="00CD12C0">
        <w:rPr>
          <w:b/>
          <w:u w:val="single"/>
        </w:rPr>
        <w:t>Section 2</w:t>
      </w:r>
      <w:r>
        <w:t xml:space="preserve">. </w:t>
      </w:r>
      <w:r w:rsidRPr="00CD12C0">
        <w:rPr>
          <w:b/>
          <w:u w:val="single"/>
        </w:rPr>
        <w:t>Purpose</w:t>
      </w:r>
      <w:r w:rsidR="00232C70">
        <w:t xml:space="preserve">. </w:t>
      </w:r>
      <w:r w:rsidR="004A5DF6">
        <w:t xml:space="preserve"> To ensure adequate access to medical care</w:t>
      </w:r>
      <w:r w:rsidR="00CC5E2E">
        <w:t>,</w:t>
      </w:r>
      <w:r w:rsidR="004A5DF6">
        <w:t xml:space="preserve"> and address workforce shortages by providing universal recognition of osteopathic </w:t>
      </w:r>
      <w:r w:rsidR="00094508">
        <w:t xml:space="preserve">medical </w:t>
      </w:r>
      <w:r w:rsidR="004A5DF6">
        <w:t>education, trainin</w:t>
      </w:r>
      <w:r w:rsidR="00CC5E2E">
        <w:t xml:space="preserve">g, certification </w:t>
      </w:r>
      <w:r w:rsidR="004A5DF6">
        <w:t xml:space="preserve">and practice. </w:t>
      </w:r>
    </w:p>
    <w:p w14:paraId="20F15BB6" w14:textId="77777777" w:rsidR="002E09CD" w:rsidRDefault="002E09CD" w:rsidP="002E09CD">
      <w:r w:rsidRPr="002E09CD">
        <w:rPr>
          <w:b/>
          <w:u w:val="single"/>
        </w:rPr>
        <w:t>Section 3</w:t>
      </w:r>
      <w:r>
        <w:t>.</w:t>
      </w:r>
      <w:r w:rsidRPr="002E09CD">
        <w:rPr>
          <w:b/>
          <w:u w:val="single"/>
        </w:rPr>
        <w:t xml:space="preserve"> Definitions</w:t>
      </w:r>
      <w:r>
        <w:t>.</w:t>
      </w:r>
    </w:p>
    <w:p w14:paraId="66580E36" w14:textId="24423415" w:rsidR="00372367" w:rsidRDefault="002E09CD" w:rsidP="00530799">
      <w:pPr>
        <w:ind w:left="1440" w:hanging="720"/>
      </w:pPr>
      <w:r>
        <w:t xml:space="preserve">(a) </w:t>
      </w:r>
      <w:r>
        <w:tab/>
      </w:r>
      <w:r w:rsidR="004A5DF6">
        <w:t xml:space="preserve">American Board of Medical </w:t>
      </w:r>
      <w:r w:rsidR="00EB084F">
        <w:t>Specialties</w:t>
      </w:r>
      <w:r w:rsidR="004A5DF6">
        <w:t xml:space="preserve"> </w:t>
      </w:r>
      <w:r w:rsidR="0089717B">
        <w:t>(ABMS) is an organization of approved medical boards representing 24 areas of specialty medicine. Member boards certify specialists in over 1</w:t>
      </w:r>
      <w:r w:rsidR="000F1BDB">
        <w:t>25</w:t>
      </w:r>
      <w:r w:rsidR="0089717B">
        <w:t xml:space="preserve"> medical specialties and subspecialties. </w:t>
      </w:r>
    </w:p>
    <w:p w14:paraId="5B261731" w14:textId="58229926" w:rsidR="00372367" w:rsidRDefault="00372367" w:rsidP="00CF62EA">
      <w:pPr>
        <w:ind w:left="1440" w:hanging="720"/>
      </w:pPr>
      <w:r>
        <w:t xml:space="preserve"> </w:t>
      </w:r>
      <w:r w:rsidR="002E09CD">
        <w:t>(b)</w:t>
      </w:r>
      <w:r w:rsidR="002E09CD">
        <w:tab/>
      </w:r>
      <w:r w:rsidRPr="00372367">
        <w:t>American Osteopathic Association</w:t>
      </w:r>
      <w:r w:rsidR="006E56BE">
        <w:t xml:space="preserve"> (AOA)</w:t>
      </w:r>
      <w:r w:rsidRPr="00372367">
        <w:t xml:space="preserve"> is the </w:t>
      </w:r>
      <w:r w:rsidR="006E56BE">
        <w:t>entity</w:t>
      </w:r>
      <w:r w:rsidR="008103B2">
        <w:t xml:space="preserve"> that</w:t>
      </w:r>
      <w:r w:rsidR="00EB084F">
        <w:t xml:space="preserve"> </w:t>
      </w:r>
      <w:r w:rsidRPr="00372367">
        <w:t>serves as t</w:t>
      </w:r>
      <w:r>
        <w:t>he primary certifying body for osteopathic physicians</w:t>
      </w:r>
      <w:r w:rsidRPr="00372367">
        <w:t xml:space="preserve"> and </w:t>
      </w:r>
      <w:r w:rsidR="00094508">
        <w:t>formerly served as</w:t>
      </w:r>
      <w:r w:rsidRPr="00372367">
        <w:t xml:space="preserve"> the accrediting agency for </w:t>
      </w:r>
      <w:r w:rsidR="008103B2">
        <w:t>osteopathic graduate medical education</w:t>
      </w:r>
      <w:r w:rsidRPr="00372367">
        <w:t>.</w:t>
      </w:r>
    </w:p>
    <w:p w14:paraId="5F548A04" w14:textId="77777777" w:rsidR="0089717B" w:rsidRDefault="00372367" w:rsidP="002E09CD">
      <w:pPr>
        <w:ind w:left="1440" w:hanging="720"/>
      </w:pPr>
      <w:r>
        <w:t xml:space="preserve"> </w:t>
      </w:r>
      <w:r w:rsidR="002E09CD">
        <w:t xml:space="preserve">(c) </w:t>
      </w:r>
      <w:r w:rsidR="002E09CD">
        <w:tab/>
      </w:r>
      <w:r w:rsidRPr="00372367">
        <w:t>Commission on Osteopathic College Accreditation</w:t>
      </w:r>
      <w:r w:rsidR="006E56BE">
        <w:t xml:space="preserve"> (COCA)</w:t>
      </w:r>
      <w:r w:rsidRPr="00372367">
        <w:t xml:space="preserve">, is </w:t>
      </w:r>
      <w:r w:rsidR="006E56BE">
        <w:t xml:space="preserve">an independent accrediting agency recognized by the United States Department of Education to accredit </w:t>
      </w:r>
      <w:r w:rsidRPr="00372367">
        <w:t>colleges of osteopathic medicine</w:t>
      </w:r>
      <w:r w:rsidR="006E56BE">
        <w:t xml:space="preserve"> in the United States.</w:t>
      </w:r>
      <w:r>
        <w:t xml:space="preserve"> </w:t>
      </w:r>
    </w:p>
    <w:p w14:paraId="201031E0" w14:textId="77777777" w:rsidR="00CA326C" w:rsidRDefault="002E09CD" w:rsidP="002E09CD">
      <w:pPr>
        <w:ind w:left="1440" w:hanging="720"/>
      </w:pPr>
      <w:r>
        <w:t>(d)</w:t>
      </w:r>
      <w:r>
        <w:tab/>
      </w:r>
      <w:r w:rsidR="00CA326C">
        <w:t xml:space="preserve">Comprehensive Osteopathic Medical Licensing Examination of the Untied States (aka “COMLEX-USA”) is </w:t>
      </w:r>
      <w:r w:rsidR="00CA326C" w:rsidRPr="00CA326C">
        <w:t>a three-level, national exam</w:t>
      </w:r>
      <w:r w:rsidR="00CA326C">
        <w:t xml:space="preserve"> developed by the National Board of Osteopathic Medical Examiners (NBOME) </w:t>
      </w:r>
      <w:r w:rsidR="00CA326C" w:rsidRPr="00CA326C">
        <w:t>for osteopathic licensure, assessing medical knowledge, skills, and is a graduation requirement for DO degrees.</w:t>
      </w:r>
      <w:r w:rsidR="00CA326C">
        <w:t xml:space="preserve"> </w:t>
      </w:r>
    </w:p>
    <w:p w14:paraId="493FA5C7" w14:textId="5E3C6191" w:rsidR="00372367" w:rsidRDefault="00CA326C" w:rsidP="002E09CD">
      <w:pPr>
        <w:ind w:left="1440" w:hanging="720"/>
      </w:pPr>
      <w:r>
        <w:t>(e)</w:t>
      </w:r>
      <w:r>
        <w:tab/>
      </w:r>
      <w:r w:rsidR="00CC5E2E">
        <w:t>Doctor of O</w:t>
      </w:r>
      <w:r w:rsidR="006E56BE">
        <w:t>st</w:t>
      </w:r>
      <w:r w:rsidR="00CC5E2E">
        <w:t>eopathic M</w:t>
      </w:r>
      <w:r w:rsidR="006E56BE">
        <w:t xml:space="preserve">edicine or </w:t>
      </w:r>
      <w:r w:rsidR="00CC5E2E">
        <w:t>Osteopathic P</w:t>
      </w:r>
      <w:r w:rsidR="006E56BE">
        <w:t>hysician (</w:t>
      </w:r>
      <w:r w:rsidR="00372367" w:rsidRPr="00372367">
        <w:t>DO</w:t>
      </w:r>
      <w:r w:rsidR="006E56BE">
        <w:t>)</w:t>
      </w:r>
      <w:r w:rsidR="00372367" w:rsidRPr="00372367">
        <w:t xml:space="preserve"> means</w:t>
      </w:r>
      <w:r w:rsidR="00372367">
        <w:t xml:space="preserve"> </w:t>
      </w:r>
      <w:r w:rsidR="006E56BE">
        <w:t xml:space="preserve">a graduate of a COCA-accredited college of osteopathic medicine </w:t>
      </w:r>
      <w:r w:rsidR="006E56BE" w:rsidRPr="00A6349E">
        <w:rPr>
          <w:i/>
          <w:iCs/>
        </w:rPr>
        <w:t>(drafting note: insert practice act citation)</w:t>
      </w:r>
      <w:r w:rsidR="00372367" w:rsidRPr="00372367">
        <w:t>.</w:t>
      </w:r>
    </w:p>
    <w:p w14:paraId="6225CCDC" w14:textId="4D77EEF6" w:rsidR="00094508" w:rsidRDefault="00372367" w:rsidP="00372367">
      <w:pPr>
        <w:ind w:left="1440" w:hanging="720"/>
      </w:pPr>
      <w:r>
        <w:t xml:space="preserve"> </w:t>
      </w:r>
      <w:r w:rsidR="00CF62EA">
        <w:t>(</w:t>
      </w:r>
      <w:r w:rsidR="00CA326C">
        <w:t>f</w:t>
      </w:r>
      <w:r w:rsidR="00CF62EA">
        <w:t>)</w:t>
      </w:r>
      <w:r w:rsidR="00CF62EA">
        <w:tab/>
      </w:r>
      <w:r w:rsidR="00094508">
        <w:t>Liaison Committee on Medical Education (LCME), is</w:t>
      </w:r>
      <w:r w:rsidR="00094508" w:rsidRPr="00372367">
        <w:t xml:space="preserve"> </w:t>
      </w:r>
      <w:r w:rsidR="00094508">
        <w:t xml:space="preserve">an independent accrediting agency recognized by the United States Department of Education to accredit </w:t>
      </w:r>
      <w:r w:rsidR="00094508" w:rsidRPr="00372367">
        <w:t>colleges of medicine</w:t>
      </w:r>
      <w:r w:rsidR="00094508">
        <w:t xml:space="preserve"> in the United States.</w:t>
      </w:r>
    </w:p>
    <w:p w14:paraId="29C79378" w14:textId="13DD177B" w:rsidR="0089717B" w:rsidRDefault="00094508" w:rsidP="00372367">
      <w:pPr>
        <w:ind w:left="1440" w:hanging="720"/>
      </w:pPr>
      <w:r>
        <w:t>(</w:t>
      </w:r>
      <w:r w:rsidR="00CA326C">
        <w:t>g</w:t>
      </w:r>
      <w:r>
        <w:t>)</w:t>
      </w:r>
      <w:r>
        <w:tab/>
      </w:r>
      <w:r w:rsidR="00CC5E2E">
        <w:t>Medical D</w:t>
      </w:r>
      <w:r w:rsidR="006E56BE">
        <w:t>octor or</w:t>
      </w:r>
      <w:r w:rsidR="00372367">
        <w:t xml:space="preserve"> Doctor of Medicine</w:t>
      </w:r>
      <w:r w:rsidR="00372367" w:rsidRPr="00372367">
        <w:t xml:space="preserve"> </w:t>
      </w:r>
      <w:r w:rsidR="006E56BE">
        <w:t>(MD) means a graduate of a</w:t>
      </w:r>
      <w:r w:rsidR="00CC5E2E">
        <w:t xml:space="preserve"> </w:t>
      </w:r>
      <w:r w:rsidR="006E56BE">
        <w:t xml:space="preserve">school of medicine </w:t>
      </w:r>
      <w:r>
        <w:t xml:space="preserve">accredited by the Liaison Committee on Medical Education or international equivalents, </w:t>
      </w:r>
      <w:r w:rsidR="006E56BE">
        <w:t xml:space="preserve">as </w:t>
      </w:r>
      <w:r w:rsidR="001D077A">
        <w:t xml:space="preserve">recognized </w:t>
      </w:r>
      <w:r w:rsidR="00CC5E2E">
        <w:t xml:space="preserve">in </w:t>
      </w:r>
      <w:r w:rsidR="001D077A" w:rsidRPr="00A6349E">
        <w:rPr>
          <w:i/>
          <w:iCs/>
        </w:rPr>
        <w:t>(</w:t>
      </w:r>
      <w:r w:rsidR="006E56BE" w:rsidRPr="00A6349E">
        <w:rPr>
          <w:i/>
          <w:iCs/>
        </w:rPr>
        <w:t>draftin</w:t>
      </w:r>
      <w:r w:rsidR="00EB084F" w:rsidRPr="00A6349E">
        <w:rPr>
          <w:i/>
          <w:iCs/>
        </w:rPr>
        <w:t>g</w:t>
      </w:r>
      <w:r w:rsidR="006E56BE" w:rsidRPr="00A6349E">
        <w:rPr>
          <w:i/>
          <w:iCs/>
        </w:rPr>
        <w:t xml:space="preserve"> note: insert practice act citation)</w:t>
      </w:r>
      <w:r>
        <w:t>.</w:t>
      </w:r>
      <w:r w:rsidR="006E56BE">
        <w:t>)</w:t>
      </w:r>
      <w:r w:rsidR="006E56BE" w:rsidRPr="00372367">
        <w:t>.</w:t>
      </w:r>
      <w:r w:rsidR="00372367">
        <w:t xml:space="preserve"> </w:t>
      </w:r>
    </w:p>
    <w:p w14:paraId="687123B4" w14:textId="23DA9271" w:rsidR="00372367" w:rsidRDefault="002556EF" w:rsidP="00372367">
      <w:pPr>
        <w:ind w:left="1440" w:hanging="720"/>
      </w:pPr>
      <w:r>
        <w:t>(</w:t>
      </w:r>
      <w:r w:rsidR="00CA326C">
        <w:t>h</w:t>
      </w:r>
      <w:r>
        <w:t>)</w:t>
      </w:r>
      <w:r>
        <w:tab/>
      </w:r>
      <w:r w:rsidR="00372367" w:rsidRPr="00372367">
        <w:t>Osteopathic Manipulative Medicine</w:t>
      </w:r>
      <w:r w:rsidR="004F5D5B">
        <w:t xml:space="preserve"> (OMM)</w:t>
      </w:r>
      <w:r w:rsidR="00372367" w:rsidRPr="00372367">
        <w:t xml:space="preserve"> means the application of osteopathic philosophy, structural diagnosis and use of Osteopathic Manipulative Treatment (OMT) </w:t>
      </w:r>
      <w:r w:rsidR="00372367" w:rsidRPr="00372367">
        <w:lastRenderedPageBreak/>
        <w:t>in the diagnosis and management of the patient</w:t>
      </w:r>
      <w:r w:rsidR="00094508">
        <w:t>, by a physician licensed to practice in this state</w:t>
      </w:r>
      <w:r w:rsidR="00372367" w:rsidRPr="00372367">
        <w:t>.</w:t>
      </w:r>
    </w:p>
    <w:p w14:paraId="5773AAAC" w14:textId="1330BAD7" w:rsidR="002E09CD" w:rsidRDefault="00372367" w:rsidP="00372367">
      <w:pPr>
        <w:ind w:left="1440" w:hanging="720"/>
      </w:pPr>
      <w:r w:rsidRPr="00372367">
        <w:t>(</w:t>
      </w:r>
      <w:r w:rsidR="00CA326C">
        <w:t>i</w:t>
      </w:r>
      <w:r w:rsidRPr="00372367">
        <w:t>)</w:t>
      </w:r>
      <w:r>
        <w:tab/>
        <w:t>Osteopathic Manipulative T</w:t>
      </w:r>
      <w:r w:rsidR="002556EF">
        <w:t>reatment</w:t>
      </w:r>
      <w:r w:rsidR="004F5D5B">
        <w:t xml:space="preserve"> (OMT)</w:t>
      </w:r>
      <w:r w:rsidR="002556EF">
        <w:t xml:space="preserve"> means the therapeutic application of manually guided forces by</w:t>
      </w:r>
      <w:r w:rsidR="004F5D5B">
        <w:t xml:space="preserve"> a physician licensed to practice in this state under (drafting note</w:t>
      </w:r>
      <w:r w:rsidR="004F5D5B" w:rsidRPr="007457BF">
        <w:t>: insert practice act citation</w:t>
      </w:r>
      <w:r w:rsidR="004F5D5B">
        <w:t>)</w:t>
      </w:r>
      <w:r w:rsidR="0089717B">
        <w:t xml:space="preserve"> </w:t>
      </w:r>
      <w:r w:rsidR="002556EF">
        <w:t xml:space="preserve">to improve physiologic function and/or support homeostasis that has been altered by somatic dysfunction. </w:t>
      </w:r>
    </w:p>
    <w:p w14:paraId="3E276020" w14:textId="01B49DE8" w:rsidR="00CA326C" w:rsidRDefault="00CA326C" w:rsidP="00CA326C">
      <w:pPr>
        <w:ind w:left="1440" w:hanging="720"/>
      </w:pPr>
      <w:r>
        <w:t>(j)</w:t>
      </w:r>
      <w:r>
        <w:tab/>
      </w:r>
      <w:r w:rsidR="00094508">
        <w:t xml:space="preserve">Physician means a </w:t>
      </w:r>
      <w:proofErr w:type="gramStart"/>
      <w:r w:rsidR="00094508">
        <w:t>doctor of osteopathic medicine</w:t>
      </w:r>
      <w:proofErr w:type="gramEnd"/>
      <w:r w:rsidR="00094508">
        <w:t>/osteopathic physician, or a medical doctor/</w:t>
      </w:r>
      <w:proofErr w:type="gramStart"/>
      <w:r w:rsidR="00094508">
        <w:t>doctor of medicine</w:t>
      </w:r>
      <w:proofErr w:type="gramEnd"/>
      <w:r w:rsidR="00094508">
        <w:t>, as defined above.</w:t>
      </w:r>
    </w:p>
    <w:p w14:paraId="1FE8ECF1" w14:textId="63A6D43F" w:rsidR="00CA326C" w:rsidRDefault="00CA326C" w:rsidP="00CA326C">
      <w:pPr>
        <w:ind w:left="1440" w:hanging="720"/>
      </w:pPr>
      <w:r>
        <w:t>(k)</w:t>
      </w:r>
      <w:r>
        <w:tab/>
        <w:t xml:space="preserve">United States Medical Licensing Examination (aka “USMLE) is a </w:t>
      </w:r>
      <w:r w:rsidRPr="00CA326C">
        <w:t xml:space="preserve">three-part examination that medical students and graduates must pass to become licensed to practice medicine in the United States. </w:t>
      </w:r>
      <w:r>
        <w:t>The USMLE is d</w:t>
      </w:r>
      <w:r w:rsidRPr="00CA326C">
        <w:t>eveloped and sponsored by the Federation of State Medical Boards (FSMB) and the National Board of Medical Examiners (NBME)</w:t>
      </w:r>
      <w:r>
        <w:t>.</w:t>
      </w:r>
    </w:p>
    <w:p w14:paraId="0B67731C" w14:textId="77777777" w:rsidR="00CC5E2E" w:rsidRDefault="00CC5E2E" w:rsidP="009D41E8">
      <w:pPr>
        <w:ind w:left="1440" w:hanging="720"/>
      </w:pPr>
    </w:p>
    <w:p w14:paraId="1AB7BEDC" w14:textId="77777777" w:rsidR="009D41E8" w:rsidRDefault="002556EF" w:rsidP="009D41E8">
      <w:pPr>
        <w:ind w:left="1440" w:hanging="720"/>
      </w:pPr>
      <w:r>
        <w:t xml:space="preserve"> </w:t>
      </w:r>
      <w:r w:rsidR="00530799" w:rsidRPr="00530799">
        <w:rPr>
          <w:b/>
          <w:u w:val="single"/>
        </w:rPr>
        <w:t>Section 4</w:t>
      </w:r>
      <w:r w:rsidR="00530799">
        <w:t xml:space="preserve">. </w:t>
      </w:r>
      <w:r w:rsidR="004C15AA" w:rsidRPr="004C15AA">
        <w:rPr>
          <w:b/>
          <w:u w:val="single"/>
        </w:rPr>
        <w:t>Requirements</w:t>
      </w:r>
      <w:r w:rsidR="004C15AA">
        <w:t xml:space="preserve">. </w:t>
      </w:r>
    </w:p>
    <w:p w14:paraId="1621AE8E" w14:textId="372B3286" w:rsidR="007457BF" w:rsidRDefault="007457BF" w:rsidP="007457BF">
      <w:pPr>
        <w:pStyle w:val="ListParagraph"/>
        <w:numPr>
          <w:ilvl w:val="0"/>
          <w:numId w:val="3"/>
        </w:numPr>
        <w:ind w:left="1440" w:hanging="720"/>
      </w:pPr>
      <w:r w:rsidRPr="007457BF">
        <w:t>A person holding a license to practice medic</w:t>
      </w:r>
      <w:r w:rsidR="00CC5E2E">
        <w:t>ine and surgery as a Doctor of Osteopathic M</w:t>
      </w:r>
      <w:r w:rsidRPr="007457BF">
        <w:t xml:space="preserve">edicine shall be authorized to exercise all the same rights, privileges, duties and responsibilities possessed by </w:t>
      </w:r>
      <w:r w:rsidR="00094508">
        <w:t xml:space="preserve">licensed </w:t>
      </w:r>
      <w:proofErr w:type="gramStart"/>
      <w:r w:rsidRPr="007457BF">
        <w:t>Doctors of Medicine</w:t>
      </w:r>
      <w:proofErr w:type="gramEnd"/>
      <w:r w:rsidR="00094508">
        <w:t xml:space="preserve"> in this state</w:t>
      </w:r>
      <w:r w:rsidRPr="007457BF">
        <w:t>.</w:t>
      </w:r>
    </w:p>
    <w:p w14:paraId="25322CA5" w14:textId="4F7C9003" w:rsidR="004C15AA" w:rsidRDefault="009D41E8" w:rsidP="008103B2">
      <w:pPr>
        <w:pStyle w:val="ListParagraph"/>
        <w:numPr>
          <w:ilvl w:val="0"/>
          <w:numId w:val="3"/>
        </w:numPr>
        <w:ind w:left="1440" w:hanging="720"/>
      </w:pPr>
      <w:r>
        <w:t xml:space="preserve">Holders of MD degrees and DO degrees shall be accorded equal professional status and privileges as licensed physicians and </w:t>
      </w:r>
      <w:r w:rsidR="00EB084F">
        <w:t>surgeons. Any</w:t>
      </w:r>
      <w:r>
        <w:t xml:space="preserve"> reference to “</w:t>
      </w:r>
      <w:r w:rsidR="008103B2">
        <w:t>M</w:t>
      </w:r>
      <w:r>
        <w:t>edical doctor”</w:t>
      </w:r>
      <w:r w:rsidR="008103B2">
        <w:t>, “MD”</w:t>
      </w:r>
      <w:r>
        <w:t xml:space="preserve"> or “physician” shall be deemed to include a Doctor of Osteopathic Medicine, DO or an osteopathic physician, unless any of those terms is specifically excluded</w:t>
      </w:r>
      <w:r w:rsidR="00094508">
        <w:t>; however, physicians shall only use the abbreviation corresponding with the school of medicine/osteopathic medicine from which they graduated, as outlined in the definitions</w:t>
      </w:r>
    </w:p>
    <w:p w14:paraId="10E76C1E" w14:textId="6F2F9CFC" w:rsidR="00CC5E2E" w:rsidRDefault="008103B2" w:rsidP="00CC5E2E">
      <w:pPr>
        <w:pStyle w:val="ListParagraph"/>
        <w:numPr>
          <w:ilvl w:val="0"/>
          <w:numId w:val="3"/>
        </w:numPr>
        <w:ind w:left="1440" w:hanging="720"/>
      </w:pPr>
      <w:r>
        <w:t>Any entity</w:t>
      </w:r>
      <w:r w:rsidR="004A5DF6">
        <w:t xml:space="preserve"> that requires</w:t>
      </w:r>
      <w:r w:rsidR="001D077A">
        <w:t xml:space="preserve"> </w:t>
      </w:r>
      <w:r w:rsidR="004A5DF6">
        <w:t xml:space="preserve">that the physician be granted or </w:t>
      </w:r>
      <w:r w:rsidR="00EB084F">
        <w:t>eligible</w:t>
      </w:r>
      <w:r w:rsidR="004A5DF6">
        <w:t xml:space="preserve"> for certification by an appropriate member board of the </w:t>
      </w:r>
      <w:r w:rsidR="00EB084F">
        <w:t>American</w:t>
      </w:r>
      <w:r w:rsidR="004A5DF6">
        <w:t xml:space="preserve"> Board of Medical Specialties </w:t>
      </w:r>
      <w:r w:rsidR="00CC5E2E">
        <w:t xml:space="preserve">(ABMS) </w:t>
      </w:r>
      <w:r w:rsidR="004A5DF6">
        <w:t>must also recognize equally certification by the AOA.</w:t>
      </w:r>
      <w:r w:rsidR="00CC5E2E">
        <w:t xml:space="preserve"> In the absence of </w:t>
      </w:r>
      <w:r w:rsidR="00094508">
        <w:t>explicit</w:t>
      </w:r>
      <w:r w:rsidR="00CC5E2E">
        <w:t xml:space="preserve"> recognition, it shall be construed that ABMS </w:t>
      </w:r>
      <w:r w:rsidR="00094508">
        <w:t xml:space="preserve">also includes </w:t>
      </w:r>
      <w:r w:rsidR="00CC5E2E">
        <w:t xml:space="preserve">AOA. </w:t>
      </w:r>
    </w:p>
    <w:p w14:paraId="192B7AE4" w14:textId="0260CC57" w:rsidR="004A5DF6" w:rsidRDefault="004A5DF6" w:rsidP="008103B2">
      <w:pPr>
        <w:pStyle w:val="ListParagraph"/>
        <w:numPr>
          <w:ilvl w:val="0"/>
          <w:numId w:val="3"/>
        </w:numPr>
        <w:ind w:left="1440" w:hanging="720"/>
      </w:pPr>
      <w:r>
        <w:t xml:space="preserve">Students </w:t>
      </w:r>
      <w:proofErr w:type="gramStart"/>
      <w:r>
        <w:t>of</w:t>
      </w:r>
      <w:proofErr w:type="gramEnd"/>
      <w:r>
        <w:t xml:space="preserve"> colleges of osteopathic medicine and </w:t>
      </w:r>
      <w:r w:rsidR="001D077A">
        <w:t xml:space="preserve">schools of medicine </w:t>
      </w:r>
      <w:r>
        <w:t xml:space="preserve">shall be </w:t>
      </w:r>
      <w:r w:rsidR="005970F4">
        <w:t>accorded</w:t>
      </w:r>
      <w:r>
        <w:t xml:space="preserve"> equal access </w:t>
      </w:r>
      <w:r w:rsidR="00CA326C">
        <w:t xml:space="preserve">(including via fees) </w:t>
      </w:r>
      <w:r>
        <w:t xml:space="preserve">to state funded training </w:t>
      </w:r>
      <w:r w:rsidR="0042400D">
        <w:t>institutions</w:t>
      </w:r>
      <w:r>
        <w:t xml:space="preserve"> including clinical rotations, postgraduate residency </w:t>
      </w:r>
      <w:r w:rsidR="00EB084F">
        <w:t>training programs</w:t>
      </w:r>
      <w:r>
        <w:t xml:space="preserve"> and fellowships.</w:t>
      </w:r>
      <w:r w:rsidR="00094508">
        <w:t xml:space="preserve"> </w:t>
      </w:r>
    </w:p>
    <w:p w14:paraId="697E68D3" w14:textId="5EBE8BFD" w:rsidR="00CA326C" w:rsidRDefault="00CA326C" w:rsidP="008103B2">
      <w:pPr>
        <w:pStyle w:val="ListParagraph"/>
        <w:numPr>
          <w:ilvl w:val="0"/>
          <w:numId w:val="3"/>
        </w:numPr>
        <w:ind w:left="1440" w:hanging="720"/>
      </w:pPr>
      <w:r>
        <w:t>Any reference to the USMLE (or its predecessor exams) shall also be deemed to include reference to the COMLEX (or its predecessor exams) for osteopathic physicians, unless specifically excluded.</w:t>
      </w:r>
    </w:p>
    <w:p w14:paraId="341634F3" w14:textId="77777777" w:rsidR="00530799" w:rsidRDefault="004C15AA" w:rsidP="002556EF">
      <w:pPr>
        <w:ind w:left="1440" w:hanging="720"/>
      </w:pPr>
      <w:r>
        <w:rPr>
          <w:b/>
          <w:u w:val="single"/>
        </w:rPr>
        <w:t xml:space="preserve">Section 5. </w:t>
      </w:r>
      <w:r w:rsidR="00530799" w:rsidRPr="00530799">
        <w:rPr>
          <w:b/>
          <w:u w:val="single"/>
        </w:rPr>
        <w:t>Effective</w:t>
      </w:r>
      <w:r w:rsidR="00530799">
        <w:t xml:space="preserve">. This Act shall become effective immediately upon being enacted into law. </w:t>
      </w:r>
    </w:p>
    <w:p w14:paraId="52FA29FD" w14:textId="77777777" w:rsidR="00C84DD0" w:rsidRDefault="00530799" w:rsidP="009D41E8">
      <w:pPr>
        <w:ind w:left="1440" w:hanging="720"/>
      </w:pPr>
      <w:r w:rsidRPr="00530799">
        <w:rPr>
          <w:b/>
          <w:u w:val="single"/>
        </w:rPr>
        <w:lastRenderedPageBreak/>
        <w:t xml:space="preserve">Section </w:t>
      </w:r>
      <w:r w:rsidR="004C15AA">
        <w:rPr>
          <w:b/>
          <w:u w:val="single"/>
        </w:rPr>
        <w:t>6</w:t>
      </w:r>
      <w:r>
        <w:t xml:space="preserve">. </w:t>
      </w:r>
      <w:r w:rsidRPr="00530799">
        <w:rPr>
          <w:b/>
          <w:u w:val="single"/>
        </w:rPr>
        <w:t>Severability</w:t>
      </w:r>
      <w:r>
        <w:t xml:space="preserve">. If any provision of this Act is held by a court to be invalid, such invalidity shall not affect the remaining provisions of this Act, and to this end the provisions of this Act are hereby declared severable. </w:t>
      </w:r>
    </w:p>
    <w:sectPr w:rsidR="00C84DD0" w:rsidSect="007F5D7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CCCD" w14:textId="77777777" w:rsidR="00E268CE" w:rsidRDefault="00E268CE" w:rsidP="004C15AA">
      <w:pPr>
        <w:spacing w:after="0" w:line="240" w:lineRule="auto"/>
      </w:pPr>
      <w:r>
        <w:separator/>
      </w:r>
    </w:p>
  </w:endnote>
  <w:endnote w:type="continuationSeparator" w:id="0">
    <w:p w14:paraId="571BCCB2" w14:textId="77777777" w:rsidR="00E268CE" w:rsidRDefault="00E268CE" w:rsidP="004C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69E60" w14:textId="77777777" w:rsidR="00E268CE" w:rsidRDefault="00E268CE" w:rsidP="004C15AA">
      <w:pPr>
        <w:spacing w:after="0" w:line="240" w:lineRule="auto"/>
      </w:pPr>
      <w:r>
        <w:separator/>
      </w:r>
    </w:p>
  </w:footnote>
  <w:footnote w:type="continuationSeparator" w:id="0">
    <w:p w14:paraId="679699E4" w14:textId="77777777" w:rsidR="00E268CE" w:rsidRDefault="00E268CE" w:rsidP="004C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951"/>
    <w:multiLevelType w:val="hybridMultilevel"/>
    <w:tmpl w:val="90DE0182"/>
    <w:lvl w:ilvl="0" w:tplc="29A0582A">
      <w:start w:val="1"/>
      <w:numFmt w:val="lowerLetter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AE2DA4"/>
    <w:multiLevelType w:val="hybridMultilevel"/>
    <w:tmpl w:val="129C3336"/>
    <w:lvl w:ilvl="0" w:tplc="86887C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A7F43"/>
    <w:multiLevelType w:val="multilevel"/>
    <w:tmpl w:val="B688EEEE"/>
    <w:lvl w:ilvl="0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7895CD7"/>
    <w:multiLevelType w:val="hybridMultilevel"/>
    <w:tmpl w:val="516AD8D6"/>
    <w:lvl w:ilvl="0" w:tplc="7B62CB7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7906C2"/>
    <w:multiLevelType w:val="hybridMultilevel"/>
    <w:tmpl w:val="B688EEEE"/>
    <w:lvl w:ilvl="0" w:tplc="9F5C2EAA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F861744"/>
    <w:multiLevelType w:val="hybridMultilevel"/>
    <w:tmpl w:val="E41C9DCE"/>
    <w:lvl w:ilvl="0" w:tplc="0532C276">
      <w:start w:val="1"/>
      <w:numFmt w:val="lowerLetter"/>
      <w:lvlText w:val="(%1)"/>
      <w:lvlJc w:val="left"/>
      <w:pPr>
        <w:ind w:left="190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054013">
    <w:abstractNumId w:val="3"/>
  </w:num>
  <w:num w:numId="2" w16cid:durableId="1054813761">
    <w:abstractNumId w:val="5"/>
  </w:num>
  <w:num w:numId="3" w16cid:durableId="1462578821">
    <w:abstractNumId w:val="4"/>
  </w:num>
  <w:num w:numId="4" w16cid:durableId="1235821409">
    <w:abstractNumId w:val="0"/>
  </w:num>
  <w:num w:numId="5" w16cid:durableId="1116949549">
    <w:abstractNumId w:val="2"/>
  </w:num>
  <w:num w:numId="6" w16cid:durableId="1359576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16"/>
    <w:rsid w:val="00094508"/>
    <w:rsid w:val="000F1BDB"/>
    <w:rsid w:val="00140DF2"/>
    <w:rsid w:val="001D077A"/>
    <w:rsid w:val="001D53A6"/>
    <w:rsid w:val="00232C70"/>
    <w:rsid w:val="002556EF"/>
    <w:rsid w:val="002B70D6"/>
    <w:rsid w:val="002E09CD"/>
    <w:rsid w:val="00372367"/>
    <w:rsid w:val="003A2375"/>
    <w:rsid w:val="0042400D"/>
    <w:rsid w:val="00494AB1"/>
    <w:rsid w:val="0049634B"/>
    <w:rsid w:val="004A5DF6"/>
    <w:rsid w:val="004C15AA"/>
    <w:rsid w:val="004F5D5B"/>
    <w:rsid w:val="00522CB6"/>
    <w:rsid w:val="00530799"/>
    <w:rsid w:val="005833CC"/>
    <w:rsid w:val="005970F4"/>
    <w:rsid w:val="00616687"/>
    <w:rsid w:val="006E56BE"/>
    <w:rsid w:val="007457BF"/>
    <w:rsid w:val="00752F30"/>
    <w:rsid w:val="007A385F"/>
    <w:rsid w:val="007F5D74"/>
    <w:rsid w:val="008103B2"/>
    <w:rsid w:val="00855234"/>
    <w:rsid w:val="0089717B"/>
    <w:rsid w:val="008E7A07"/>
    <w:rsid w:val="0092391A"/>
    <w:rsid w:val="00926CCB"/>
    <w:rsid w:val="00932762"/>
    <w:rsid w:val="009D41E8"/>
    <w:rsid w:val="009F0E16"/>
    <w:rsid w:val="00A40820"/>
    <w:rsid w:val="00A438AE"/>
    <w:rsid w:val="00A5207B"/>
    <w:rsid w:val="00A61219"/>
    <w:rsid w:val="00A6349E"/>
    <w:rsid w:val="00C17C09"/>
    <w:rsid w:val="00C67996"/>
    <w:rsid w:val="00C84DD0"/>
    <w:rsid w:val="00CA2198"/>
    <w:rsid w:val="00CA326C"/>
    <w:rsid w:val="00CC5E2E"/>
    <w:rsid w:val="00CD12C0"/>
    <w:rsid w:val="00CF62EA"/>
    <w:rsid w:val="00D73F2F"/>
    <w:rsid w:val="00DA2F57"/>
    <w:rsid w:val="00E268CE"/>
    <w:rsid w:val="00E83F19"/>
    <w:rsid w:val="00EB084F"/>
    <w:rsid w:val="00EF58A4"/>
    <w:rsid w:val="00F90AEB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EC5BE"/>
  <w15:docId w15:val="{9C7113DF-5D4D-4DCD-BCC2-F5AD3D6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F5D74"/>
  </w:style>
  <w:style w:type="paragraph" w:styleId="ListParagraph">
    <w:name w:val="List Paragraph"/>
    <w:basedOn w:val="Normal"/>
    <w:uiPriority w:val="34"/>
    <w:qFormat/>
    <w:rsid w:val="00CD12C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15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15AA"/>
    <w:rPr>
      <w:sz w:val="20"/>
      <w:szCs w:val="20"/>
    </w:rPr>
  </w:style>
  <w:style w:type="character" w:styleId="Hyperlink">
    <w:name w:val="Hyperlink"/>
    <w:uiPriority w:val="99"/>
    <w:unhideWhenUsed/>
    <w:rsid w:val="004C15AA"/>
    <w:rPr>
      <w:color w:val="0000FF"/>
      <w:u w:val="single"/>
    </w:rPr>
  </w:style>
  <w:style w:type="character" w:styleId="FootnoteReference">
    <w:name w:val="footnote reference"/>
    <w:semiHidden/>
    <w:unhideWhenUsed/>
    <w:rsid w:val="004C15A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E5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6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450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F1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4281</Characters>
  <Application>Microsoft Office Word</Application>
  <DocSecurity>4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Raine</dc:creator>
  <cp:lastModifiedBy>Richards, Raine</cp:lastModifiedBy>
  <cp:revision>2</cp:revision>
  <dcterms:created xsi:type="dcterms:W3CDTF">2026-03-02T19:10:00Z</dcterms:created>
  <dcterms:modified xsi:type="dcterms:W3CDTF">2026-03-02T19:10:00Z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98f9527b-a32b-44ae-8a18-23e4f75a976b</vt:lpwstr>
  </property>
</Properties>
</file>